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30" w:rsidRPr="00BD7176" w:rsidRDefault="00711830" w:rsidP="00DD1642">
      <w:pPr>
        <w:ind w:left="538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7176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4 к Положению о формировании муниципального задания на оказание муниципальных услуг (выполнение работ) в отношении му</w:t>
      </w:r>
      <w:bookmarkStart w:id="0" w:name="_GoBack"/>
      <w:bookmarkEnd w:id="0"/>
      <w:r w:rsidRPr="00BD7176">
        <w:rPr>
          <w:rFonts w:ascii="Times New Roman" w:eastAsia="Times New Roman" w:hAnsi="Times New Roman" w:cs="Times New Roman"/>
          <w:sz w:val="20"/>
          <w:szCs w:val="24"/>
          <w:lang w:eastAsia="ru-RU"/>
        </w:rPr>
        <w:t>ниципальных учреждений городского округа Мытищи и финансовом обеспечении выполнения муниципального задания</w:t>
      </w:r>
    </w:p>
    <w:p w:rsidR="00240CFD" w:rsidRPr="00BD7176" w:rsidRDefault="00240CFD" w:rsidP="00240CF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7176">
        <w:rPr>
          <w:rFonts w:ascii="Times New Roman" w:hAnsi="Times New Roman" w:cs="Times New Roman"/>
          <w:sz w:val="24"/>
          <w:szCs w:val="24"/>
        </w:rPr>
        <w:t>УТВЕРЖДАЮ:</w:t>
      </w:r>
    </w:p>
    <w:p w:rsidR="00240CFD" w:rsidRPr="00BD7176" w:rsidRDefault="00240CFD" w:rsidP="00240CF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7176">
        <w:rPr>
          <w:rFonts w:ascii="Times New Roman" w:hAnsi="Times New Roman" w:cs="Times New Roman"/>
          <w:sz w:val="24"/>
          <w:szCs w:val="24"/>
        </w:rPr>
        <w:t>Должность</w:t>
      </w:r>
    </w:p>
    <w:p w:rsidR="00240CFD" w:rsidRPr="00BD7176" w:rsidRDefault="00240CFD" w:rsidP="00240CF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240CFD" w:rsidRPr="00BD7176" w:rsidRDefault="00240CFD" w:rsidP="00240CF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717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40CFD" w:rsidRPr="00BD7176" w:rsidRDefault="00240CFD" w:rsidP="00240CF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71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7176">
        <w:rPr>
          <w:rFonts w:ascii="Times New Roman" w:hAnsi="Times New Roman" w:cs="Times New Roman"/>
          <w:sz w:val="20"/>
          <w:szCs w:val="24"/>
        </w:rPr>
        <w:t>(подпись, расшифровка подписи)</w:t>
      </w:r>
    </w:p>
    <w:p w:rsidR="00240CFD" w:rsidRPr="00BD7176" w:rsidRDefault="00240CFD" w:rsidP="00240CF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240CFD" w:rsidRPr="00BD7176" w:rsidRDefault="00240CFD" w:rsidP="00240CF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D7176">
        <w:rPr>
          <w:rFonts w:ascii="Times New Roman" w:hAnsi="Times New Roman" w:cs="Times New Roman"/>
          <w:sz w:val="24"/>
          <w:szCs w:val="24"/>
        </w:rPr>
        <w:t>«______»____________20___г.</w:t>
      </w:r>
    </w:p>
    <w:p w:rsidR="00254A2F" w:rsidRDefault="00254A2F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40CFD" w:rsidRDefault="00240CFD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40CFD" w:rsidRDefault="00240CFD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BD7176" w:rsidRDefault="00BD7176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BD7176">
        <w:rPr>
          <w:rFonts w:ascii="Times New Roman" w:hAnsi="Times New Roman" w:cs="Times New Roman"/>
          <w:b/>
          <w:sz w:val="24"/>
        </w:rPr>
        <w:t>Значения</w:t>
      </w:r>
    </w:p>
    <w:p w:rsidR="00744F91" w:rsidRPr="00BD7176" w:rsidRDefault="00744F91">
      <w:pPr>
        <w:spacing w:after="1" w:line="240" w:lineRule="atLeast"/>
        <w:jc w:val="center"/>
        <w:rPr>
          <w:rFonts w:ascii="Times New Roman" w:hAnsi="Times New Roman" w:cs="Times New Roman"/>
          <w:b/>
        </w:rPr>
      </w:pPr>
      <w:r w:rsidRPr="00BD7176">
        <w:rPr>
          <w:rFonts w:ascii="Times New Roman" w:hAnsi="Times New Roman" w:cs="Times New Roman"/>
          <w:b/>
          <w:sz w:val="24"/>
        </w:rPr>
        <w:t>натуральных норм</w:t>
      </w:r>
      <w:r w:rsidR="00FF37EE" w:rsidRPr="00BD7176">
        <w:rPr>
          <w:rFonts w:ascii="Times New Roman" w:hAnsi="Times New Roman" w:cs="Times New Roman"/>
          <w:b/>
          <w:sz w:val="24"/>
        </w:rPr>
        <w:t xml:space="preserve"> (показателей)</w:t>
      </w:r>
      <w:r w:rsidRPr="00BD7176">
        <w:rPr>
          <w:rFonts w:ascii="Times New Roman" w:hAnsi="Times New Roman" w:cs="Times New Roman"/>
          <w:b/>
          <w:sz w:val="24"/>
        </w:rPr>
        <w:t>, необходимых для определения базовых</w:t>
      </w:r>
    </w:p>
    <w:p w:rsidR="00744F91" w:rsidRPr="00BD7176" w:rsidRDefault="00744F91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BD7176">
        <w:rPr>
          <w:rFonts w:ascii="Times New Roman" w:hAnsi="Times New Roman" w:cs="Times New Roman"/>
          <w:b/>
          <w:sz w:val="24"/>
        </w:rPr>
        <w:t>нормативов затрат на оказание муниципальных услуг</w:t>
      </w:r>
      <w:r w:rsidR="00DF512F" w:rsidRPr="00BD7176">
        <w:rPr>
          <w:rFonts w:ascii="Times New Roman" w:hAnsi="Times New Roman" w:cs="Times New Roman"/>
          <w:b/>
          <w:sz w:val="24"/>
        </w:rPr>
        <w:t xml:space="preserve"> (работ)</w:t>
      </w:r>
    </w:p>
    <w:p w:rsidR="00347738" w:rsidRPr="00BD7176" w:rsidRDefault="00347738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347738" w:rsidRPr="00BD7176" w:rsidRDefault="00347738" w:rsidP="00DD1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176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 __________________________________________</w:t>
      </w:r>
    </w:p>
    <w:p w:rsidR="00744F91" w:rsidRPr="00BD7176" w:rsidRDefault="00744F91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461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1"/>
        <w:gridCol w:w="1422"/>
        <w:gridCol w:w="1623"/>
        <w:gridCol w:w="1479"/>
        <w:gridCol w:w="1479"/>
        <w:gridCol w:w="1395"/>
      </w:tblGrid>
      <w:tr w:rsidR="00B8279C" w:rsidRPr="00BD7176" w:rsidTr="00DD1642">
        <w:tc>
          <w:tcPr>
            <w:tcW w:w="957" w:type="pct"/>
          </w:tcPr>
          <w:p w:rsidR="00744F91" w:rsidRPr="00BD7176" w:rsidRDefault="00744F91" w:rsidP="00347738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Наименование муниципальной услуги</w:t>
            </w:r>
            <w:r w:rsidR="00DF512F" w:rsidRPr="00BD7176">
              <w:rPr>
                <w:rFonts w:ascii="Times New Roman" w:hAnsi="Times New Roman" w:cs="Times New Roman"/>
                <w:sz w:val="24"/>
              </w:rPr>
              <w:t xml:space="preserve"> (работы)</w:t>
            </w:r>
            <w:r w:rsidRPr="00BD71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7" w:type="pct"/>
          </w:tcPr>
          <w:p w:rsidR="00744F91" w:rsidRPr="00BD7176" w:rsidRDefault="00744F91" w:rsidP="00347738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 xml:space="preserve">Уникальный номер реестровой записи </w:t>
            </w:r>
          </w:p>
        </w:tc>
        <w:tc>
          <w:tcPr>
            <w:tcW w:w="887" w:type="pct"/>
          </w:tcPr>
          <w:p w:rsidR="00744F91" w:rsidRPr="00BD7176" w:rsidRDefault="00744F91" w:rsidP="00B8279C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Наименование натуральной нормы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(показателя)</w:t>
            </w:r>
            <w:r w:rsidR="00B8279C" w:rsidRPr="00BD7176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</w:p>
        </w:tc>
        <w:tc>
          <w:tcPr>
            <w:tcW w:w="808" w:type="pct"/>
          </w:tcPr>
          <w:p w:rsidR="00744F91" w:rsidRPr="00BD7176" w:rsidRDefault="00744F91" w:rsidP="00FF37EE">
            <w:pPr>
              <w:spacing w:after="1" w:line="24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Единица измерения натуральной нормы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(показателя)</w:t>
            </w:r>
            <w:r w:rsidR="00B8279C" w:rsidRPr="00BD7176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808" w:type="pct"/>
          </w:tcPr>
          <w:p w:rsidR="00744F91" w:rsidRPr="00BD7176" w:rsidRDefault="00744F91" w:rsidP="00FF37EE">
            <w:pPr>
              <w:spacing w:after="1" w:line="24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Значение натуральной нормы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(показателя)</w:t>
            </w:r>
            <w:r w:rsidR="00B8279C" w:rsidRPr="00BD7176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762" w:type="pct"/>
          </w:tcPr>
          <w:p w:rsidR="00744F91" w:rsidRPr="00BD7176" w:rsidRDefault="00744F91" w:rsidP="00B8279C">
            <w:pPr>
              <w:spacing w:after="1" w:line="24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  <w:r w:rsidR="00B8279C" w:rsidRPr="00BD7176"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</w:p>
        </w:tc>
      </w:tr>
      <w:tr w:rsidR="00B8279C" w:rsidRPr="00BD7176" w:rsidTr="00254A2F">
        <w:trPr>
          <w:trHeight w:val="186"/>
        </w:trPr>
        <w:tc>
          <w:tcPr>
            <w:tcW w:w="957" w:type="pct"/>
          </w:tcPr>
          <w:p w:rsidR="00744F91" w:rsidRPr="00BD7176" w:rsidRDefault="00744F91" w:rsidP="00BD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:rsidR="00744F91" w:rsidRPr="00BD7176" w:rsidRDefault="00744F91" w:rsidP="00BD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pct"/>
          </w:tcPr>
          <w:p w:rsidR="00744F91" w:rsidRPr="00BD7176" w:rsidRDefault="00744F91" w:rsidP="00BD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pct"/>
          </w:tcPr>
          <w:p w:rsidR="00744F91" w:rsidRPr="00BD7176" w:rsidRDefault="00744F91" w:rsidP="00BD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pct"/>
          </w:tcPr>
          <w:p w:rsidR="00744F91" w:rsidRPr="00BD7176" w:rsidRDefault="00744F91" w:rsidP="00BD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pct"/>
          </w:tcPr>
          <w:p w:rsidR="00744F91" w:rsidRPr="00BD7176" w:rsidRDefault="00744F91" w:rsidP="00BD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4F91" w:rsidRPr="00BD7176" w:rsidTr="00DD1642">
        <w:tc>
          <w:tcPr>
            <w:tcW w:w="957" w:type="pct"/>
            <w:vMerge w:val="restar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 w:val="restar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 w:rsidP="00744F91">
            <w:pPr>
              <w:spacing w:after="1" w:line="240" w:lineRule="atLeast"/>
              <w:outlineLvl w:val="0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1. Натуральные нормы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(показатели)</w:t>
            </w:r>
            <w:r w:rsidRPr="00BD7176">
              <w:rPr>
                <w:rFonts w:ascii="Times New Roman" w:hAnsi="Times New Roman" w:cs="Times New Roman"/>
                <w:sz w:val="24"/>
              </w:rPr>
              <w:t>, непосредственно связанные с оказанием муниципальной услуги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(работы)</w:t>
            </w: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 w:rsidP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1.1. Работники, непосредственно связанные с оказанием муниципальной услуги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(работы)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 w:rsidP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(работы)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254A2F">
        <w:trPr>
          <w:trHeight w:val="790"/>
        </w:trPr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 w:rsidP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1.3. Иные натуральные нормы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(показатели)</w:t>
            </w:r>
            <w:r w:rsidRPr="00BD7176">
              <w:rPr>
                <w:rFonts w:ascii="Times New Roman" w:hAnsi="Times New Roman" w:cs="Times New Roman"/>
                <w:sz w:val="24"/>
              </w:rPr>
              <w:t>, непосредственно используемые в процессе оказания муниципальной услуги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(работы)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>
            <w:pPr>
              <w:spacing w:after="1" w:line="240" w:lineRule="atLeast"/>
              <w:outlineLvl w:val="0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2. Натуральные нормы</w:t>
            </w:r>
            <w:r w:rsidR="00FF37EE" w:rsidRPr="00BD7176">
              <w:rPr>
                <w:rFonts w:ascii="Times New Roman" w:hAnsi="Times New Roman" w:cs="Times New Roman"/>
                <w:sz w:val="24"/>
              </w:rPr>
              <w:t xml:space="preserve"> (показатели)</w:t>
            </w:r>
            <w:r w:rsidRPr="00BD7176">
              <w:rPr>
                <w:rFonts w:ascii="Times New Roman" w:hAnsi="Times New Roman" w:cs="Times New Roman"/>
                <w:sz w:val="24"/>
              </w:rPr>
              <w:t xml:space="preserve"> на общехозяйственные нужды</w:t>
            </w: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2.1. Коммунальные услуги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 w:rsidP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 w:rsidP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2.4. Услуги связи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2.5. Транспортные услуги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 w:rsidP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2.6. Работники, которые не принимают непосредственного участия в оказании муниципальной услуги</w:t>
            </w:r>
            <w:r w:rsidR="00AC55FD" w:rsidRPr="00BD7176">
              <w:rPr>
                <w:rFonts w:ascii="Times New Roman" w:hAnsi="Times New Roman" w:cs="Times New Roman"/>
                <w:sz w:val="24"/>
              </w:rPr>
              <w:t>, включая административно-управленческий персонал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44F91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  <w:gridSpan w:val="4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BD7176">
              <w:rPr>
                <w:rFonts w:ascii="Times New Roman" w:hAnsi="Times New Roman" w:cs="Times New Roman"/>
                <w:sz w:val="24"/>
              </w:rPr>
              <w:t>2.7. Прочие общехозяйственные нужды</w:t>
            </w:r>
          </w:p>
        </w:tc>
      </w:tr>
      <w:tr w:rsidR="00B8279C" w:rsidRPr="00BD7176" w:rsidTr="00DD1642">
        <w:tc>
          <w:tcPr>
            <w:tcW w:w="95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744F91" w:rsidRPr="00BD7176" w:rsidRDefault="0074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B8279C" w:rsidRPr="00BD7176" w:rsidTr="00DD1642">
        <w:tc>
          <w:tcPr>
            <w:tcW w:w="95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744F91" w:rsidRPr="00BD7176" w:rsidRDefault="00744F91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DF512F" w:rsidRPr="00BD7176" w:rsidRDefault="00DF512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B65156" w:rsidRPr="00BD7176" w:rsidRDefault="00587ED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BD7176">
        <w:rPr>
          <w:rFonts w:ascii="Times New Roman" w:hAnsi="Times New Roman" w:cs="Times New Roman"/>
          <w:sz w:val="24"/>
        </w:rPr>
        <w:t>_____________________</w:t>
      </w:r>
      <w:r w:rsidR="00B65156" w:rsidRPr="00BD7176">
        <w:rPr>
          <w:rFonts w:ascii="Times New Roman" w:hAnsi="Times New Roman" w:cs="Times New Roman"/>
          <w:sz w:val="24"/>
        </w:rPr>
        <w:t xml:space="preserve">    </w:t>
      </w:r>
      <w:r w:rsidR="00DF512F" w:rsidRPr="00BD7176">
        <w:rPr>
          <w:rFonts w:ascii="Times New Roman" w:hAnsi="Times New Roman" w:cs="Times New Roman"/>
          <w:sz w:val="24"/>
        </w:rPr>
        <w:t xml:space="preserve"> </w:t>
      </w:r>
      <w:r w:rsidR="00B65156" w:rsidRPr="00BD7176">
        <w:rPr>
          <w:rFonts w:ascii="Times New Roman" w:hAnsi="Times New Roman" w:cs="Times New Roman"/>
          <w:sz w:val="24"/>
        </w:rPr>
        <w:t>____________     ________________________</w:t>
      </w:r>
      <w:r w:rsidR="00DF512F" w:rsidRPr="00BD7176">
        <w:rPr>
          <w:rFonts w:ascii="Times New Roman" w:hAnsi="Times New Roman" w:cs="Times New Roman"/>
          <w:sz w:val="24"/>
        </w:rPr>
        <w:t xml:space="preserve">    </w:t>
      </w:r>
    </w:p>
    <w:p w:rsidR="00DF512F" w:rsidRPr="00BD7176" w:rsidRDefault="00587EDA" w:rsidP="00587ED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BD7176">
        <w:rPr>
          <w:rFonts w:ascii="Times New Roman" w:hAnsi="Times New Roman" w:cs="Times New Roman"/>
          <w:sz w:val="20"/>
        </w:rPr>
        <w:t xml:space="preserve">      </w:t>
      </w:r>
      <w:r w:rsidR="00405E04" w:rsidRPr="00BD7176">
        <w:rPr>
          <w:rFonts w:ascii="Times New Roman" w:hAnsi="Times New Roman" w:cs="Times New Roman"/>
          <w:sz w:val="20"/>
        </w:rPr>
        <w:t xml:space="preserve">        </w:t>
      </w:r>
      <w:r w:rsidRPr="00BD7176">
        <w:rPr>
          <w:rFonts w:ascii="Times New Roman" w:hAnsi="Times New Roman" w:cs="Times New Roman"/>
          <w:sz w:val="20"/>
        </w:rPr>
        <w:t xml:space="preserve">должность                  </w:t>
      </w:r>
      <w:r w:rsidR="00405E04" w:rsidRPr="00BD7176">
        <w:rPr>
          <w:rFonts w:ascii="Times New Roman" w:hAnsi="Times New Roman" w:cs="Times New Roman"/>
          <w:sz w:val="20"/>
        </w:rPr>
        <w:t xml:space="preserve">               </w:t>
      </w:r>
      <w:r w:rsidR="00B65156" w:rsidRPr="00BD7176">
        <w:rPr>
          <w:rFonts w:ascii="Times New Roman" w:hAnsi="Times New Roman" w:cs="Times New Roman"/>
          <w:sz w:val="20"/>
        </w:rPr>
        <w:t>п</w:t>
      </w:r>
      <w:r w:rsidR="00DF512F" w:rsidRPr="00BD7176">
        <w:rPr>
          <w:rFonts w:ascii="Times New Roman" w:hAnsi="Times New Roman" w:cs="Times New Roman"/>
          <w:sz w:val="20"/>
        </w:rPr>
        <w:t xml:space="preserve">одпись      </w:t>
      </w:r>
      <w:r w:rsidR="00B65156" w:rsidRPr="00BD7176">
        <w:rPr>
          <w:rFonts w:ascii="Times New Roman" w:hAnsi="Times New Roman" w:cs="Times New Roman"/>
          <w:sz w:val="20"/>
        </w:rPr>
        <w:t xml:space="preserve">        </w:t>
      </w:r>
      <w:r w:rsidRPr="00BD7176">
        <w:rPr>
          <w:rFonts w:ascii="Times New Roman" w:hAnsi="Times New Roman" w:cs="Times New Roman"/>
          <w:sz w:val="20"/>
        </w:rPr>
        <w:t xml:space="preserve">       </w:t>
      </w:r>
      <w:r w:rsidR="00B65156" w:rsidRPr="00BD7176">
        <w:rPr>
          <w:rFonts w:ascii="Times New Roman" w:hAnsi="Times New Roman" w:cs="Times New Roman"/>
          <w:sz w:val="20"/>
        </w:rPr>
        <w:t>расшифровка подписи</w:t>
      </w:r>
      <w:r w:rsidR="00DF512F" w:rsidRPr="00BD7176">
        <w:rPr>
          <w:rFonts w:ascii="Times New Roman" w:hAnsi="Times New Roman" w:cs="Times New Roman"/>
          <w:sz w:val="24"/>
        </w:rPr>
        <w:tab/>
      </w:r>
      <w:r w:rsidR="00DF512F" w:rsidRPr="00BD7176">
        <w:rPr>
          <w:rFonts w:ascii="Times New Roman" w:hAnsi="Times New Roman" w:cs="Times New Roman"/>
          <w:sz w:val="24"/>
        </w:rPr>
        <w:tab/>
      </w:r>
    </w:p>
    <w:p w:rsidR="00405E04" w:rsidRPr="00BD7176" w:rsidRDefault="00405E0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405E04" w:rsidRPr="00BD7176" w:rsidRDefault="00405E0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405E04" w:rsidRPr="00BD7176" w:rsidRDefault="00405E0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405E04" w:rsidRPr="00BD7176" w:rsidRDefault="00405E0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744F91" w:rsidRPr="00BD7176" w:rsidRDefault="00744F91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r w:rsidRPr="00BD7176">
        <w:rPr>
          <w:rFonts w:ascii="Times New Roman" w:hAnsi="Times New Roman" w:cs="Times New Roman"/>
          <w:sz w:val="24"/>
        </w:rPr>
        <w:t>--------------------------------</w:t>
      </w:r>
    </w:p>
    <w:p w:rsidR="00744F91" w:rsidRPr="00BD7176" w:rsidRDefault="00B8279C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bookmarkStart w:id="1" w:name="P115"/>
      <w:bookmarkStart w:id="2" w:name="P117"/>
      <w:bookmarkEnd w:id="1"/>
      <w:bookmarkEnd w:id="2"/>
      <w:r w:rsidRPr="00BD7176">
        <w:rPr>
          <w:rFonts w:ascii="Times New Roman" w:hAnsi="Times New Roman" w:cs="Times New Roman"/>
          <w:sz w:val="24"/>
          <w:vertAlign w:val="superscript"/>
        </w:rPr>
        <w:lastRenderedPageBreak/>
        <w:t>1</w:t>
      </w:r>
      <w:proofErr w:type="gramStart"/>
      <w:r w:rsidR="00744F91" w:rsidRPr="00BD7176">
        <w:rPr>
          <w:rFonts w:ascii="Times New Roman" w:hAnsi="Times New Roman" w:cs="Times New Roman"/>
          <w:sz w:val="24"/>
        </w:rPr>
        <w:t xml:space="preserve"> В</w:t>
      </w:r>
      <w:proofErr w:type="gramEnd"/>
      <w:r w:rsidR="00744F91" w:rsidRPr="00BD7176">
        <w:rPr>
          <w:rFonts w:ascii="Times New Roman" w:hAnsi="Times New Roman" w:cs="Times New Roman"/>
          <w:sz w:val="24"/>
        </w:rPr>
        <w:t xml:space="preserve"> графе 3 "Наименование натуральной нормы</w:t>
      </w:r>
      <w:r w:rsidR="00FF37EE" w:rsidRPr="00BD7176">
        <w:rPr>
          <w:rFonts w:ascii="Times New Roman" w:hAnsi="Times New Roman" w:cs="Times New Roman"/>
          <w:sz w:val="24"/>
        </w:rPr>
        <w:t xml:space="preserve"> (показателя)</w:t>
      </w:r>
      <w:r w:rsidR="00744F91" w:rsidRPr="00BD7176">
        <w:rPr>
          <w:rFonts w:ascii="Times New Roman" w:hAnsi="Times New Roman" w:cs="Times New Roman"/>
          <w:sz w:val="24"/>
        </w:rPr>
        <w:t>" указывается наименование натуральной нормы</w:t>
      </w:r>
      <w:r w:rsidR="00FF37EE" w:rsidRPr="00BD7176">
        <w:rPr>
          <w:rFonts w:ascii="Times New Roman" w:hAnsi="Times New Roman" w:cs="Times New Roman"/>
          <w:sz w:val="24"/>
        </w:rPr>
        <w:t xml:space="preserve"> (показателя)</w:t>
      </w:r>
      <w:r w:rsidR="00744F91" w:rsidRPr="00BD7176">
        <w:rPr>
          <w:rFonts w:ascii="Times New Roman" w:hAnsi="Times New Roman" w:cs="Times New Roman"/>
          <w:sz w:val="24"/>
        </w:rPr>
        <w:t xml:space="preserve">, используемой для оказания </w:t>
      </w:r>
      <w:r w:rsidR="00347738" w:rsidRPr="00BD7176">
        <w:rPr>
          <w:rFonts w:ascii="Times New Roman" w:hAnsi="Times New Roman" w:cs="Times New Roman"/>
          <w:sz w:val="24"/>
        </w:rPr>
        <w:t>муниципальной</w:t>
      </w:r>
      <w:r w:rsidR="00744F91" w:rsidRPr="00BD7176">
        <w:rPr>
          <w:rFonts w:ascii="Times New Roman" w:hAnsi="Times New Roman" w:cs="Times New Roman"/>
          <w:sz w:val="24"/>
        </w:rPr>
        <w:t xml:space="preserve"> услуги</w:t>
      </w:r>
      <w:r w:rsidR="00FF37EE" w:rsidRPr="00BD7176">
        <w:rPr>
          <w:rFonts w:ascii="Times New Roman" w:hAnsi="Times New Roman" w:cs="Times New Roman"/>
          <w:sz w:val="24"/>
        </w:rPr>
        <w:t xml:space="preserve"> (работы)</w:t>
      </w:r>
      <w:r w:rsidR="00744F91" w:rsidRPr="00BD7176">
        <w:rPr>
          <w:rFonts w:ascii="Times New Roman" w:hAnsi="Times New Roman" w:cs="Times New Roman"/>
          <w:sz w:val="24"/>
        </w:rPr>
        <w:t xml:space="preserve">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347738" w:rsidRPr="00BD7176">
        <w:rPr>
          <w:rFonts w:ascii="Times New Roman" w:hAnsi="Times New Roman" w:cs="Times New Roman"/>
          <w:sz w:val="24"/>
        </w:rPr>
        <w:t>муниципальной</w:t>
      </w:r>
      <w:r w:rsidR="00744F91" w:rsidRPr="00BD7176">
        <w:rPr>
          <w:rFonts w:ascii="Times New Roman" w:hAnsi="Times New Roman" w:cs="Times New Roman"/>
          <w:sz w:val="24"/>
        </w:rPr>
        <w:t xml:space="preserve"> услуги</w:t>
      </w:r>
      <w:r w:rsidR="00FF37EE" w:rsidRPr="00BD7176">
        <w:rPr>
          <w:rFonts w:ascii="Times New Roman" w:hAnsi="Times New Roman" w:cs="Times New Roman"/>
          <w:sz w:val="24"/>
        </w:rPr>
        <w:t xml:space="preserve"> (работы)</w:t>
      </w:r>
      <w:r w:rsidR="00744F91" w:rsidRPr="00BD7176">
        <w:rPr>
          <w:rFonts w:ascii="Times New Roman" w:hAnsi="Times New Roman" w:cs="Times New Roman"/>
          <w:sz w:val="24"/>
        </w:rPr>
        <w:t>).</w:t>
      </w:r>
    </w:p>
    <w:p w:rsidR="00744F91" w:rsidRPr="00BD7176" w:rsidRDefault="00B8279C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bookmarkStart w:id="3" w:name="P118"/>
      <w:bookmarkEnd w:id="3"/>
      <w:r w:rsidRPr="00BD7176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="00744F91" w:rsidRPr="00BD7176">
        <w:rPr>
          <w:rFonts w:ascii="Times New Roman" w:hAnsi="Times New Roman" w:cs="Times New Roman"/>
          <w:sz w:val="24"/>
        </w:rPr>
        <w:t xml:space="preserve"> В</w:t>
      </w:r>
      <w:proofErr w:type="gramEnd"/>
      <w:r w:rsidR="00744F91" w:rsidRPr="00BD7176">
        <w:rPr>
          <w:rFonts w:ascii="Times New Roman" w:hAnsi="Times New Roman" w:cs="Times New Roman"/>
          <w:sz w:val="24"/>
        </w:rPr>
        <w:t xml:space="preserve"> графе 4 "Единица измерения натуральной нормы</w:t>
      </w:r>
      <w:r w:rsidR="00FF37EE" w:rsidRPr="00BD7176">
        <w:rPr>
          <w:rFonts w:ascii="Times New Roman" w:hAnsi="Times New Roman" w:cs="Times New Roman"/>
          <w:sz w:val="24"/>
        </w:rPr>
        <w:t xml:space="preserve"> (показателя)</w:t>
      </w:r>
      <w:r w:rsidR="00744F91" w:rsidRPr="00BD7176">
        <w:rPr>
          <w:rFonts w:ascii="Times New Roman" w:hAnsi="Times New Roman" w:cs="Times New Roman"/>
          <w:sz w:val="24"/>
        </w:rPr>
        <w:t>" указывается единица, используемая для измерения натуральной нормы</w:t>
      </w:r>
      <w:r w:rsidR="00FF37EE" w:rsidRPr="00BD7176">
        <w:rPr>
          <w:rFonts w:ascii="Times New Roman" w:hAnsi="Times New Roman" w:cs="Times New Roman"/>
          <w:sz w:val="24"/>
        </w:rPr>
        <w:t xml:space="preserve"> (показателя)</w:t>
      </w:r>
      <w:r w:rsidR="00744F91" w:rsidRPr="00BD7176">
        <w:rPr>
          <w:rFonts w:ascii="Times New Roman" w:hAnsi="Times New Roman" w:cs="Times New Roman"/>
          <w:sz w:val="24"/>
        </w:rPr>
        <w:t xml:space="preserve"> (единицы, штуки, Гкал, кВт-ч., куб. м, кв. м, комплекты, штатные единицы, часы и другие единицы измерения).</w:t>
      </w:r>
    </w:p>
    <w:p w:rsidR="00744F91" w:rsidRPr="00BD7176" w:rsidRDefault="00B8279C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bookmarkStart w:id="4" w:name="P119"/>
      <w:bookmarkEnd w:id="4"/>
      <w:r w:rsidRPr="00BD7176"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 w:rsidR="00744F91" w:rsidRPr="00BD7176">
        <w:rPr>
          <w:rFonts w:ascii="Times New Roman" w:hAnsi="Times New Roman" w:cs="Times New Roman"/>
          <w:sz w:val="24"/>
        </w:rPr>
        <w:t xml:space="preserve"> В</w:t>
      </w:r>
      <w:proofErr w:type="gramEnd"/>
      <w:r w:rsidR="00744F91" w:rsidRPr="00BD7176">
        <w:rPr>
          <w:rFonts w:ascii="Times New Roman" w:hAnsi="Times New Roman" w:cs="Times New Roman"/>
          <w:sz w:val="24"/>
        </w:rPr>
        <w:t xml:space="preserve"> графе 5 "Значение натуральной нормы</w:t>
      </w:r>
      <w:r w:rsidR="00FF37EE" w:rsidRPr="00BD7176">
        <w:rPr>
          <w:rFonts w:ascii="Times New Roman" w:hAnsi="Times New Roman" w:cs="Times New Roman"/>
          <w:sz w:val="24"/>
        </w:rPr>
        <w:t xml:space="preserve"> (показателя)</w:t>
      </w:r>
      <w:r w:rsidR="00744F91" w:rsidRPr="00BD7176">
        <w:rPr>
          <w:rFonts w:ascii="Times New Roman" w:hAnsi="Times New Roman" w:cs="Times New Roman"/>
          <w:sz w:val="24"/>
        </w:rPr>
        <w:t>" указываются значения натуральных норм</w:t>
      </w:r>
      <w:r w:rsidR="00FF37EE" w:rsidRPr="00BD7176">
        <w:rPr>
          <w:rFonts w:ascii="Times New Roman" w:hAnsi="Times New Roman" w:cs="Times New Roman"/>
          <w:sz w:val="24"/>
        </w:rPr>
        <w:t xml:space="preserve"> (показателей)</w:t>
      </w:r>
      <w:r w:rsidR="00744F91" w:rsidRPr="00BD7176">
        <w:rPr>
          <w:rFonts w:ascii="Times New Roman" w:hAnsi="Times New Roman" w:cs="Times New Roman"/>
          <w:sz w:val="24"/>
        </w:rPr>
        <w:t>, установленных стандартами оказания услуги</w:t>
      </w:r>
      <w:r w:rsidRPr="00BD7176">
        <w:rPr>
          <w:rFonts w:ascii="Times New Roman" w:hAnsi="Times New Roman" w:cs="Times New Roman"/>
          <w:sz w:val="24"/>
        </w:rPr>
        <w:t xml:space="preserve"> (работы)</w:t>
      </w:r>
      <w:r w:rsidR="00744F91" w:rsidRPr="00BD7176">
        <w:rPr>
          <w:rFonts w:ascii="Times New Roman" w:hAnsi="Times New Roman" w:cs="Times New Roman"/>
          <w:sz w:val="24"/>
        </w:rPr>
        <w:t xml:space="preserve"> (в случае их отсутствия указываются значения натуральных норм</w:t>
      </w:r>
      <w:r w:rsidR="00FF37EE" w:rsidRPr="00BD7176">
        <w:rPr>
          <w:rFonts w:ascii="Times New Roman" w:hAnsi="Times New Roman" w:cs="Times New Roman"/>
          <w:sz w:val="24"/>
        </w:rPr>
        <w:t xml:space="preserve"> (показателей)</w:t>
      </w:r>
      <w:r w:rsidR="00744F91" w:rsidRPr="00BD7176">
        <w:rPr>
          <w:rFonts w:ascii="Times New Roman" w:hAnsi="Times New Roman" w:cs="Times New Roman"/>
          <w:sz w:val="24"/>
        </w:rPr>
        <w:t xml:space="preserve">, определенные для </w:t>
      </w:r>
      <w:r w:rsidRPr="00BD7176">
        <w:rPr>
          <w:rFonts w:ascii="Times New Roman" w:hAnsi="Times New Roman" w:cs="Times New Roman"/>
          <w:sz w:val="24"/>
        </w:rPr>
        <w:t>муниципальной услуги</w:t>
      </w:r>
      <w:r w:rsidR="00FF37EE" w:rsidRPr="00BD7176">
        <w:rPr>
          <w:rFonts w:ascii="Times New Roman" w:hAnsi="Times New Roman" w:cs="Times New Roman"/>
          <w:sz w:val="24"/>
        </w:rPr>
        <w:t xml:space="preserve"> (работы)</w:t>
      </w:r>
      <w:r w:rsidRPr="00BD7176">
        <w:rPr>
          <w:rFonts w:ascii="Times New Roman" w:hAnsi="Times New Roman" w:cs="Times New Roman"/>
          <w:sz w:val="24"/>
        </w:rPr>
        <w:t>,</w:t>
      </w:r>
      <w:r w:rsidR="00744F91" w:rsidRPr="00BD7176">
        <w:rPr>
          <w:rFonts w:ascii="Times New Roman" w:hAnsi="Times New Roman" w:cs="Times New Roman"/>
          <w:sz w:val="24"/>
        </w:rPr>
        <w:t xml:space="preserve"> оказываемой </w:t>
      </w:r>
      <w:r w:rsidRPr="00BD7176">
        <w:rPr>
          <w:rFonts w:ascii="Times New Roman" w:hAnsi="Times New Roman" w:cs="Times New Roman"/>
          <w:sz w:val="24"/>
        </w:rPr>
        <w:t>муниципальным</w:t>
      </w:r>
      <w:r w:rsidR="00744F91" w:rsidRPr="00BD7176">
        <w:rPr>
          <w:rFonts w:ascii="Times New Roman" w:hAnsi="Times New Roman" w:cs="Times New Roman"/>
          <w:sz w:val="24"/>
        </w:rPr>
        <w:t xml:space="preserve"> учреждением, по методу наиболее эффективного учреждения, </w:t>
      </w:r>
      <w:r w:rsidR="00711830" w:rsidRPr="00BD7176">
        <w:rPr>
          <w:rFonts w:ascii="Times New Roman" w:hAnsi="Times New Roman" w:cs="Times New Roman"/>
          <w:sz w:val="24"/>
        </w:rPr>
        <w:t>медианному методу, экспертному методу</w:t>
      </w:r>
      <w:r w:rsidR="00AC55FD" w:rsidRPr="00BD7176">
        <w:rPr>
          <w:rFonts w:ascii="Times New Roman" w:hAnsi="Times New Roman" w:cs="Times New Roman"/>
          <w:sz w:val="24"/>
        </w:rPr>
        <w:t xml:space="preserve"> ил</w:t>
      </w:r>
      <w:r w:rsidR="00FF37EE" w:rsidRPr="00BD7176">
        <w:rPr>
          <w:rFonts w:ascii="Times New Roman" w:hAnsi="Times New Roman" w:cs="Times New Roman"/>
          <w:sz w:val="24"/>
        </w:rPr>
        <w:t>и</w:t>
      </w:r>
      <w:r w:rsidR="00AC55FD" w:rsidRPr="00BD7176">
        <w:rPr>
          <w:rFonts w:ascii="Times New Roman" w:hAnsi="Times New Roman" w:cs="Times New Roman"/>
          <w:sz w:val="24"/>
        </w:rPr>
        <w:t xml:space="preserve"> </w:t>
      </w:r>
      <w:r w:rsidR="00711830" w:rsidRPr="00BD7176">
        <w:rPr>
          <w:rFonts w:ascii="Times New Roman" w:hAnsi="Times New Roman" w:cs="Times New Roman"/>
          <w:sz w:val="24"/>
        </w:rPr>
        <w:t>отчетному методу).</w:t>
      </w:r>
    </w:p>
    <w:p w:rsidR="00AC6A97" w:rsidRPr="00BD7176" w:rsidRDefault="00B8279C" w:rsidP="00931CF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120"/>
      <w:bookmarkEnd w:id="5"/>
      <w:r w:rsidRPr="00BD7176">
        <w:rPr>
          <w:rFonts w:ascii="Times New Roman" w:hAnsi="Times New Roman" w:cs="Times New Roman"/>
          <w:sz w:val="24"/>
          <w:vertAlign w:val="superscript"/>
        </w:rPr>
        <w:t>4</w:t>
      </w:r>
      <w:proofErr w:type="gramStart"/>
      <w:r w:rsidR="00744F91" w:rsidRPr="00BD7176">
        <w:rPr>
          <w:rFonts w:ascii="Times New Roman" w:hAnsi="Times New Roman" w:cs="Times New Roman"/>
          <w:sz w:val="24"/>
        </w:rPr>
        <w:t xml:space="preserve"> В</w:t>
      </w:r>
      <w:proofErr w:type="gramEnd"/>
      <w:r w:rsidR="00744F91" w:rsidRPr="00BD7176">
        <w:rPr>
          <w:rFonts w:ascii="Times New Roman" w:hAnsi="Times New Roman" w:cs="Times New Roman"/>
          <w:sz w:val="24"/>
        </w:rPr>
        <w:t xml:space="preserve"> графе 6 "Примечание" в обязательном порядке указывается источник значения натуральной нормы</w:t>
      </w:r>
      <w:r w:rsidR="00FF37EE" w:rsidRPr="00BD7176">
        <w:rPr>
          <w:rFonts w:ascii="Times New Roman" w:hAnsi="Times New Roman" w:cs="Times New Roman"/>
          <w:sz w:val="24"/>
        </w:rPr>
        <w:t xml:space="preserve"> (показателя)</w:t>
      </w:r>
      <w:r w:rsidR="00744F91" w:rsidRPr="00BD7176">
        <w:rPr>
          <w:rFonts w:ascii="Times New Roman" w:hAnsi="Times New Roman" w:cs="Times New Roman"/>
          <w:sz w:val="24"/>
        </w:rPr>
        <w:t xml:space="preserve"> (нормативный правовой акт (вид, дата, номер), утверждающий стандарт оказания услуги</w:t>
      </w:r>
      <w:r w:rsidR="00FF37EE" w:rsidRPr="00BD7176">
        <w:rPr>
          <w:rFonts w:ascii="Times New Roman" w:hAnsi="Times New Roman" w:cs="Times New Roman"/>
          <w:sz w:val="24"/>
        </w:rPr>
        <w:t xml:space="preserve"> (работы)</w:t>
      </w:r>
      <w:r w:rsidR="00744F91" w:rsidRPr="00BD7176">
        <w:rPr>
          <w:rFonts w:ascii="Times New Roman" w:hAnsi="Times New Roman" w:cs="Times New Roman"/>
          <w:sz w:val="24"/>
        </w:rPr>
        <w:t xml:space="preserve">, а при его отсутствии </w:t>
      </w:r>
      <w:r w:rsidR="00711830" w:rsidRPr="00BD7176">
        <w:rPr>
          <w:rFonts w:ascii="Times New Roman" w:hAnsi="Times New Roman" w:cs="Times New Roman"/>
          <w:sz w:val="24"/>
        </w:rPr>
        <w:t>название используемого метода</w:t>
      </w:r>
      <w:r w:rsidR="00744F91" w:rsidRPr="00BD7176">
        <w:rPr>
          <w:rFonts w:ascii="Times New Roman" w:hAnsi="Times New Roman" w:cs="Times New Roman"/>
          <w:sz w:val="24"/>
        </w:rPr>
        <w:t>).</w:t>
      </w:r>
    </w:p>
    <w:sectPr w:rsidR="00AC6A97" w:rsidRPr="00BD7176" w:rsidSect="00BE6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560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98" w:rsidRDefault="00154798" w:rsidP="00154798">
      <w:pPr>
        <w:spacing w:after="0" w:line="240" w:lineRule="auto"/>
      </w:pPr>
      <w:r>
        <w:separator/>
      </w:r>
    </w:p>
  </w:endnote>
  <w:endnote w:type="continuationSeparator" w:id="0">
    <w:p w:rsidR="00154798" w:rsidRDefault="00154798" w:rsidP="001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29" w:rsidRDefault="00BE6F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472988"/>
      <w:docPartObj>
        <w:docPartGallery w:val="Page Numbers (Bottom of Page)"/>
        <w:docPartUnique/>
      </w:docPartObj>
    </w:sdtPr>
    <w:sdtEndPr/>
    <w:sdtContent>
      <w:p w:rsidR="00154798" w:rsidRDefault="00240CFD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29" w:rsidRDefault="00BE6F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98" w:rsidRDefault="00154798" w:rsidP="00154798">
      <w:pPr>
        <w:spacing w:after="0" w:line="240" w:lineRule="auto"/>
      </w:pPr>
      <w:r>
        <w:separator/>
      </w:r>
    </w:p>
  </w:footnote>
  <w:footnote w:type="continuationSeparator" w:id="0">
    <w:p w:rsidR="00154798" w:rsidRDefault="00154798" w:rsidP="001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29" w:rsidRDefault="00BE6F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29" w:rsidRDefault="00BE6F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29" w:rsidRDefault="00BE6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97"/>
    <w:rsid w:val="00073F2E"/>
    <w:rsid w:val="000A52FD"/>
    <w:rsid w:val="00107BD4"/>
    <w:rsid w:val="00154798"/>
    <w:rsid w:val="00240CFD"/>
    <w:rsid w:val="00254A2F"/>
    <w:rsid w:val="00262EE9"/>
    <w:rsid w:val="00347738"/>
    <w:rsid w:val="003C6F17"/>
    <w:rsid w:val="00405E04"/>
    <w:rsid w:val="00483DD8"/>
    <w:rsid w:val="00514483"/>
    <w:rsid w:val="00587EDA"/>
    <w:rsid w:val="00711830"/>
    <w:rsid w:val="00744F91"/>
    <w:rsid w:val="007A5563"/>
    <w:rsid w:val="00813607"/>
    <w:rsid w:val="008E1BB1"/>
    <w:rsid w:val="00903227"/>
    <w:rsid w:val="00931CF6"/>
    <w:rsid w:val="009F715A"/>
    <w:rsid w:val="00A1503B"/>
    <w:rsid w:val="00A6689E"/>
    <w:rsid w:val="00AC55FD"/>
    <w:rsid w:val="00AC6A97"/>
    <w:rsid w:val="00B65156"/>
    <w:rsid w:val="00B8279C"/>
    <w:rsid w:val="00BD7176"/>
    <w:rsid w:val="00BE6F29"/>
    <w:rsid w:val="00BF559F"/>
    <w:rsid w:val="00C241F3"/>
    <w:rsid w:val="00C52F13"/>
    <w:rsid w:val="00C675EF"/>
    <w:rsid w:val="00D41667"/>
    <w:rsid w:val="00DD1642"/>
    <w:rsid w:val="00DF512F"/>
    <w:rsid w:val="00E121BA"/>
    <w:rsid w:val="00E414A1"/>
    <w:rsid w:val="00F67D57"/>
    <w:rsid w:val="00F8641F"/>
    <w:rsid w:val="00FF19FD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uiPriority w:val="99"/>
    <w:rsid w:val="00AC6A97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798"/>
  </w:style>
  <w:style w:type="paragraph" w:styleId="a6">
    <w:name w:val="footer"/>
    <w:basedOn w:val="a"/>
    <w:link w:val="a7"/>
    <w:uiPriority w:val="99"/>
    <w:unhideWhenUsed/>
    <w:rsid w:val="001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uiPriority w:val="99"/>
    <w:rsid w:val="00AC6A97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798"/>
  </w:style>
  <w:style w:type="paragraph" w:styleId="a6">
    <w:name w:val="footer"/>
    <w:basedOn w:val="a"/>
    <w:link w:val="a7"/>
    <w:uiPriority w:val="99"/>
    <w:unhideWhenUsed/>
    <w:rsid w:val="001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AAB8-0D8A-44D1-92FE-64BCF74F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Ковтунов Борис Михайлович</dc:creator>
  <cp:lastModifiedBy>Вершинина Екатерина Вячеславовна</cp:lastModifiedBy>
  <cp:revision>59</cp:revision>
  <cp:lastPrinted>2017-07-19T08:08:00Z</cp:lastPrinted>
  <dcterms:created xsi:type="dcterms:W3CDTF">2017-06-28T08:46:00Z</dcterms:created>
  <dcterms:modified xsi:type="dcterms:W3CDTF">2024-02-22T07:23:00Z</dcterms:modified>
</cp:coreProperties>
</file>